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r w:rsidRPr="00593A0A">
        <w:rPr>
          <w:rFonts w:ascii="cmr17" w:hAnsi="cmr17"/>
          <w:lang w:val="en-US"/>
        </w:rPr>
        <w:t>Yoav Ram</w:t>
      </w:r>
      <w:r w:rsidR="00C81983">
        <w:rPr>
          <w:rFonts w:ascii="cmr17" w:hAnsi="cmr17"/>
          <w:lang w:val="en-US"/>
        </w:rPr>
        <w:t xml:space="preserve"> </w:t>
      </w:r>
    </w:p>
    <w:p w:rsidR="003277CF" w:rsidRDefault="00593A0A" w:rsidP="003277CF">
      <w:pPr>
        <w:pStyle w:val="Subtitle"/>
        <w:rPr>
          <w:rFonts w:ascii="cmr17" w:hAnsi="cmr17"/>
          <w:lang w:val="en-US"/>
        </w:rPr>
      </w:pPr>
      <w:r w:rsidRPr="00593A0A">
        <w:rPr>
          <w:rFonts w:ascii="cmr17" w:hAnsi="cmr17"/>
          <w:lang w:val="en-US"/>
        </w:rPr>
        <w:t xml:space="preserve">and </w:t>
      </w:r>
    </w:p>
    <w:p w:rsidR="00C81983" w:rsidRDefault="00593A0A" w:rsidP="003277CF">
      <w:pPr>
        <w:pStyle w:val="Subtitle"/>
        <w:rPr>
          <w:rFonts w:ascii="cmr17" w:hAnsi="cmr17"/>
          <w:lang w:val="en-US"/>
        </w:rPr>
      </w:pPr>
      <w:r w:rsidRPr="00593A0A">
        <w:rPr>
          <w:rFonts w:ascii="cmr17" w:hAnsi="cmr17"/>
          <w:lang w:val="en-US"/>
        </w:rPr>
        <w:t>Lilach Hadany</w:t>
      </w:r>
    </w:p>
    <w:p w:rsidR="003277CF" w:rsidRDefault="004A4DFB" w:rsidP="004A4DFB">
      <w:pPr>
        <w:pStyle w:val="Subtitle"/>
        <w:rPr>
          <w:rFonts w:ascii="cmr17" w:hAnsi="cmr17"/>
          <w:lang w:val="en-US"/>
        </w:rPr>
      </w:pPr>
      <w:r>
        <w:rPr>
          <w:rFonts w:ascii="cmr17" w:hAnsi="cmr17"/>
          <w:lang w:val="en-US"/>
        </w:rPr>
        <w:t>corresponding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Here we analyze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r>
        <w:rPr>
          <w:lang w:val="en-US"/>
        </w:rPr>
        <w:t xml:space="preserve">population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082550">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FB219C">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FB219C">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ED18BD">
        <w:rPr>
          <w:lang w:val="en-US"/>
        </w:rPr>
        <w:t xml:space="preserve">Here,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r w:rsidR="000651B8">
        <w:rPr>
          <w:i/>
          <w:iCs/>
          <w:lang w:val="en-US"/>
        </w:rPr>
        <w:t>ab</w:t>
      </w:r>
      <w:r w:rsidR="000651B8">
        <w:rPr>
          <w:lang w:val="en-US"/>
        </w:rPr>
        <w:t xml:space="preserve"> is the </w:t>
      </w:r>
      <w:r w:rsidR="00175BA1">
        <w:rPr>
          <w:lang w:val="en-US"/>
        </w:rPr>
        <w:t xml:space="preserve">wildtype </w:t>
      </w:r>
      <w:r w:rsidR="000651B8">
        <w:rPr>
          <w:lang w:val="en-US"/>
        </w:rPr>
        <w:t xml:space="preserve">with a fitness value of </w:t>
      </w:r>
      <w:r w:rsidR="000651B8" w:rsidRPr="00175BA1">
        <w:rPr>
          <w:i/>
          <w:iCs/>
          <w:lang w:val="en-US"/>
        </w:rPr>
        <w:t>1</w:t>
      </w:r>
      <w:r w:rsidR="000651B8">
        <w:rPr>
          <w:lang w:val="en-US"/>
        </w:rPr>
        <w:t>, single mutants (</w:t>
      </w:r>
      <w:r w:rsidR="000651B8">
        <w:rPr>
          <w:i/>
          <w:iCs/>
          <w:lang w:val="en-US"/>
        </w:rPr>
        <w:t>Ab</w:t>
      </w:r>
      <w:r w:rsidR="000651B8">
        <w:rPr>
          <w:lang w:val="en-US"/>
        </w:rPr>
        <w:t xml:space="preserve"> and </w:t>
      </w:r>
      <w:r w:rsidR="000651B8">
        <w:rPr>
          <w:i/>
          <w:iCs/>
          <w:lang w:val="en-US"/>
        </w:rPr>
        <w:t>aB</w:t>
      </w:r>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r w:rsidR="000651B8">
        <w:rPr>
          <w:i/>
          <w:iCs/>
          <w:vertAlign w:val="superscript"/>
          <w:lang w:val="en-US"/>
        </w:rPr>
        <w:t>2</w:t>
      </w:r>
      <w:r w:rsidR="000651B8">
        <w:rPr>
          <w:lang w:val="en-US"/>
        </w:rPr>
        <w:t xml:space="preserve">. </w:t>
      </w:r>
    </w:p>
    <w:p w:rsidR="000E4EA4" w:rsidRDefault="00A8498D" w:rsidP="000E4EA4">
      <w:pPr>
        <w:ind w:firstLine="0"/>
        <w:rPr>
          <w:lang w:val="en-US"/>
        </w:rPr>
      </w:pPr>
      <w:r>
        <w:rPr>
          <w:lang w:val="en-US"/>
        </w:rPr>
        <w:t xml:space="preserve">Mutation from </w:t>
      </w:r>
      <w:r>
        <w:rPr>
          <w:i/>
          <w:iCs/>
          <w:lang w:val="en-US"/>
        </w:rPr>
        <w:t>a</w:t>
      </w:r>
      <w:r>
        <w:rPr>
          <w:lang w:val="en-US"/>
        </w:rPr>
        <w:t xml:space="preserve"> to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82550">
      <w:pPr>
        <w:ind w:firstLine="0"/>
        <w:rPr>
          <w:lang w:val="en-US"/>
        </w:rPr>
      </w:pPr>
      <w:r>
        <w:rPr>
          <w:lang w:val="en-US"/>
        </w:rPr>
        <w:t xml:space="preserve">Individuals with </w:t>
      </w:r>
      <w:r w:rsidR="00082550">
        <w:rPr>
          <w:lang w:val="en-US"/>
        </w:rPr>
        <w:t xml:space="preserve">SIM </w:t>
      </w:r>
      <w:r>
        <w:rPr>
          <w:lang w:val="en-US"/>
        </w:rPr>
        <w:t xml:space="preserve">and fitness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082550" w:rsidRDefault="00082550" w:rsidP="00930641">
      <w:pPr>
        <w:pStyle w:val="Caption"/>
        <w:keepNext/>
      </w:pPr>
      <w:bookmarkStart w:id="6" w:name="_Ref358731264"/>
    </w:p>
    <w:p w:rsidR="00930641" w:rsidRDefault="00930641" w:rsidP="00930641">
      <w:pPr>
        <w:pStyle w:val="Caption"/>
        <w:keepNext/>
      </w:pPr>
      <w:bookmarkStart w:id="7" w:name="_Ref358791100"/>
      <w:r>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 xml:space="preserve">Selection </w:t>
            </w:r>
            <w:r>
              <w:rPr>
                <w:lang w:val="en-US"/>
              </w:rPr>
              <w:lastRenderedPageBreak/>
              <w:t>coefficient</w:t>
            </w:r>
          </w:p>
        </w:tc>
        <w:tc>
          <w:tcPr>
            <w:tcW w:w="1897" w:type="dxa"/>
            <w:vAlign w:val="center"/>
          </w:tcPr>
          <w:p w:rsidR="00930641" w:rsidRDefault="00930641" w:rsidP="009F66C0">
            <w:pPr>
              <w:ind w:firstLine="0"/>
              <w:jc w:val="center"/>
              <w:rPr>
                <w:lang w:val="en-US"/>
              </w:rPr>
            </w:pPr>
            <w:r>
              <w:rPr>
                <w:lang w:val="en-US"/>
              </w:rPr>
              <w:lastRenderedPageBreak/>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lastRenderedPageBreak/>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930641" w:rsidRDefault="00930641" w:rsidP="005A4D58">
      <w:pPr>
        <w:ind w:firstLine="0"/>
        <w:rPr>
          <w:lang w:val="en-US"/>
        </w:rPr>
      </w:pPr>
    </w:p>
    <w:p w:rsidR="00C80D23" w:rsidRDefault="00C80D23" w:rsidP="005A4D58">
      <w:pPr>
        <w:ind w:firstLine="0"/>
        <w:rPr>
          <w:lang w:val="en-US"/>
        </w:rPr>
      </w:pPr>
      <w:r>
        <w:rPr>
          <w:lang w:val="en-US"/>
        </w:rPr>
        <w:t xml:space="preserve">Table 1 summarizes the model parameters and estimated values for  </w:t>
      </w:r>
      <w:r w:rsidRPr="001A482B">
        <w:rPr>
          <w:i/>
          <w:iCs/>
          <w:lang w:val="en-US"/>
        </w:rPr>
        <w:t>Escherischia coli</w:t>
      </w:r>
      <w:r>
        <w:rPr>
          <w:lang w:val="en-US"/>
        </w:rPr>
        <w:t xml:space="preserve">. Taking the conservative estimations, 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xml:space="preserve">, but the constraint can also be met for other combinations of the parameter values. We assume both of these constraints hold thourghout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082550" w:rsidRDefault="00082550" w:rsidP="00EA4ACF">
      <w:pPr>
        <w:ind w:firstLine="0"/>
      </w:pPr>
    </w:p>
    <w:p w:rsidR="00296230" w:rsidRDefault="002909A0" w:rsidP="00296230">
      <w:pPr>
        <w:keepNext/>
        <w:jc w:val="center"/>
      </w:pPr>
      <w:r>
        <w:rPr>
          <w:noProof/>
          <w:lang w:val="en-US" w:bidi="he-IL"/>
        </w:rPr>
        <w:drawing>
          <wp:inline distT="0" distB="0" distL="0" distR="0" wp14:anchorId="701EEFAE" wp14:editId="6DDDDA1F">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874701">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represent a specific genotype. Node labels specify the </w:t>
      </w:r>
      <w:r>
        <w:rPr>
          <w:b w:val="0"/>
          <w:bCs w:val="0"/>
        </w:rPr>
        <w:t xml:space="preserve">alleles at the </w:t>
      </w:r>
      <w:r>
        <w:rPr>
          <w:b w:val="0"/>
          <w:bCs w:val="0"/>
          <w:i/>
          <w:iCs/>
        </w:rPr>
        <w:t>A/</w:t>
      </w:r>
      <w:r w:rsidRPr="00317C1F">
        <w:rPr>
          <w:b w:val="0"/>
          <w:bCs w:val="0"/>
        </w:rPr>
        <w:t>a</w:t>
      </w:r>
      <w:r>
        <w:rPr>
          <w:b w:val="0"/>
          <w:bCs w:val="0"/>
        </w:rPr>
        <w:t xml:space="preserve"> and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genotype</w:t>
      </w:r>
      <w:r w:rsidR="00874701">
        <w:rPr>
          <w:b w:val="0"/>
          <w:bCs w:val="0"/>
        </w:rPr>
        <w:t xml:space="preserve"> (see colourbar)</w:t>
      </w:r>
      <w:r>
        <w:rPr>
          <w:b w:val="0"/>
          <w:bCs w:val="0"/>
        </w:rPr>
        <w:t xml:space="preserv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874701">
        <w:rPr>
          <w:b w:val="0"/>
          <w:bCs w:val="0"/>
        </w:rPr>
        <w:t xml:space="preserve"> (</w:t>
      </w:r>
      <w:r w:rsidR="00874701" w:rsidRPr="00874701">
        <w:rPr>
          <w:b w:val="0"/>
          <w:bCs w:val="0"/>
          <w:i/>
          <w:iCs/>
        </w:rPr>
        <w:t>1+sH</w:t>
      </w:r>
      <w:r w:rsidR="00874701">
        <w:rPr>
          <w:b w:val="0"/>
          <w:bCs w:val="0"/>
        </w:rPr>
        <w:t xml:space="preserve">, with </w:t>
      </w:r>
      <w:r w:rsidR="00874701">
        <w:rPr>
          <w:b w:val="0"/>
          <w:bCs w:val="0"/>
          <w:i/>
          <w:iCs/>
        </w:rPr>
        <w:t>s</w:t>
      </w:r>
      <w:r w:rsidR="00874701">
        <w:rPr>
          <w:b w:val="0"/>
          <w:bCs w:val="0"/>
        </w:rPr>
        <w:t xml:space="preserve"> as the selection coefficient and </w:t>
      </w:r>
      <w:r w:rsidR="00874701">
        <w:rPr>
          <w:b w:val="0"/>
          <w:bCs w:val="0"/>
          <w:i/>
          <w:iCs/>
        </w:rPr>
        <w:t>H</w:t>
      </w:r>
      <w:r w:rsidR="00874701">
        <w:rPr>
          <w:b w:val="0"/>
          <w:bCs w:val="0"/>
        </w:rPr>
        <w:t xml:space="preserve"> as the relative advantage of </w:t>
      </w:r>
      <w:r w:rsidR="00874701">
        <w:rPr>
          <w:b w:val="0"/>
          <w:bCs w:val="0"/>
          <w:i/>
          <w:iCs/>
        </w:rPr>
        <w:t>AB</w:t>
      </w:r>
      <w:r w:rsidR="00874701">
        <w:rPr>
          <w:b w:val="0"/>
          <w:bCs w:val="0"/>
        </w:rPr>
        <w:t>)</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874701" w:rsidRPr="00874701">
        <w:rPr>
          <w:b w:val="0"/>
          <w:bCs w:val="0"/>
        </w:rPr>
        <w:t xml:space="preserve"> (</w:t>
      </w:r>
      <w:r w:rsidR="00874701" w:rsidRPr="00874701">
        <w:rPr>
          <w:b w:val="0"/>
          <w:bCs w:val="0"/>
          <w:i/>
          <w:iCs/>
        </w:rPr>
        <w:t>(1-s)</w:t>
      </w:r>
      <w:r w:rsidR="00874701" w:rsidRPr="00874701">
        <w:rPr>
          <w:b w:val="0"/>
          <w:bCs w:val="0"/>
          <w:i/>
          <w:iCs/>
          <w:vertAlign w:val="superscript"/>
        </w:rPr>
        <w:t>m</w:t>
      </w:r>
      <w:r w:rsidR="00874701" w:rsidRPr="00874701">
        <w:rPr>
          <w:b w:val="0"/>
          <w:bCs w:val="0"/>
        </w:rPr>
        <w:t xml:space="preserve"> with </w:t>
      </w:r>
      <w:r w:rsidR="00874701" w:rsidRPr="00874701">
        <w:rPr>
          <w:b w:val="0"/>
          <w:bCs w:val="0"/>
          <w:i/>
          <w:iCs/>
        </w:rPr>
        <w:t>m</w:t>
      </w:r>
      <w:r w:rsidR="00874701" w:rsidRPr="00874701">
        <w:rPr>
          <w:b w:val="0"/>
          <w:bCs w:val="0"/>
        </w:rPr>
        <w:t xml:space="preserve"> as the number of deleterious mutations).</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r w:rsidR="00A80402">
        <w:t>(</w:t>
      </w:r>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 xml:space="preserve">(i) </w:t>
      </w:r>
      <w:r w:rsidR="00374508">
        <w:rPr>
          <w:lang w:val="en-US"/>
        </w:rPr>
        <w:t xml:space="preserve">The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r w:rsidR="00247649" w:rsidRPr="00247649">
        <w:rPr>
          <w:i/>
          <w:iCs/>
          <w:lang w:val="en-US"/>
        </w:rPr>
        <w:t>ab</w:t>
      </w:r>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10" w:name="_Ref358733625"/>
      <w:r>
        <w:rPr>
          <w:lang w:val="en-US"/>
        </w:rPr>
        <w:t>Results</w:t>
      </w:r>
      <w:bookmarkEnd w:id="10"/>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 xml:space="preserve">(i)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082550">
      <w:pPr>
        <w:pStyle w:val="Firstparagraph"/>
        <w:rPr>
          <w:lang w:val="en-US"/>
        </w:rPr>
      </w:pPr>
      <w:bookmarkStart w:id="11"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r w:rsidR="00082550">
        <w:rPr>
          <w:lang w:val="en-US"/>
        </w:rPr>
        <w:t xml:space="preserve"> (model parameters are summarized in </w:t>
      </w:r>
      <w:r w:rsidR="00082550">
        <w:rPr>
          <w:lang w:val="en-US"/>
        </w:rPr>
        <w:fldChar w:fldCharType="begin"/>
      </w:r>
      <w:r w:rsidR="00082550">
        <w:rPr>
          <w:lang w:val="en-US"/>
        </w:rPr>
        <w:instrText xml:space="preserve"> REF _Ref358791100 \h </w:instrText>
      </w:r>
      <w:r w:rsidR="00082550">
        <w:rPr>
          <w:lang w:val="en-US"/>
        </w:rPr>
      </w:r>
      <w:r w:rsidR="00082550">
        <w:rPr>
          <w:lang w:val="en-US"/>
        </w:rPr>
        <w:fldChar w:fldCharType="separate"/>
      </w:r>
      <w:r w:rsidR="00082550">
        <w:t xml:space="preserve">Table </w:t>
      </w:r>
      <w:r w:rsidR="00082550">
        <w:rPr>
          <w:noProof/>
        </w:rPr>
        <w:t>1</w:t>
      </w:r>
      <w:r w:rsidR="00082550">
        <w:rPr>
          <w:lang w:val="en-US"/>
        </w:rPr>
        <w:fldChar w:fldCharType="end"/>
      </w:r>
      <w:r w:rsidR="00082550">
        <w:rPr>
          <w:lang w:val="en-US"/>
        </w:rPr>
        <w:t>)</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08255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as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lastRenderedPageBreak/>
        <w:t>Fixation of a double mutation</w:t>
      </w:r>
    </w:p>
    <w:p w:rsidR="002603F6" w:rsidRDefault="002603F6" w:rsidP="00082550">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Eshel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082550">
      <w:pPr>
        <w:ind w:firstLine="0"/>
        <w:rPr>
          <w:lang w:val="en-US"/>
        </w:rPr>
      </w:pPr>
      <w:r>
        <w:rPr>
          <w:lang w:val="en-US"/>
        </w:rPr>
        <w:t xml:space="preserve">Because </w:t>
      </w:r>
      <w:r w:rsidR="00082550">
        <w:rPr>
          <w:lang w:val="en-US"/>
        </w:rPr>
        <w:t xml:space="preserve">SIM </w:t>
      </w:r>
      <w:r>
        <w:rPr>
          <w:lang w:val="en-US"/>
        </w:rPr>
        <w:t xml:space="preserve">can have an effect on the population mean fitness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082550">
      <w:pPr>
        <w:rPr>
          <w:lang w:val="en-US"/>
        </w:rPr>
      </w:pPr>
      <w:r>
        <w:rPr>
          <w:lang w:val="en-US"/>
        </w:rPr>
        <w:t>Comparing the righthand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082550">
        <w:rPr>
          <w:lang w:val="en-US"/>
        </w:rPr>
        <w:t xml:space="preserve"> and that</w:t>
      </w:r>
      <w:r>
        <w:rPr>
          <w:lang w:val="en-US"/>
        </w:rPr>
        <w:t xml:space="preserve"> </w:t>
      </w:r>
      <w:r w:rsidR="00082550">
        <w:rPr>
          <w:lang w:val="en-US"/>
        </w:rPr>
        <w:t xml:space="preserve">SIM </w:t>
      </w:r>
      <w:r>
        <w:rPr>
          <w:lang w:val="en-US"/>
        </w:rPr>
        <w:t xml:space="preserve">increases the fixation probability of the double mutant. This is because maladapted individuals accumulate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is </w:t>
      </w:r>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1/Nq</w:t>
      </w:r>
      <w:r>
        <w:rPr>
          <w:rFonts w:ascii="Times New Roman" w:hAnsi="Times New Roman"/>
          <w:i/>
          <w:iCs/>
          <w:lang w:val="en-US"/>
        </w:rPr>
        <w:t>ρ</w:t>
      </w:r>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082550" w:rsidP="00E11936">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E11936">
      <w:pPr>
        <w:pStyle w:val="Firstparagraph"/>
        <w:rPr>
          <w:lang w:val="en-US"/>
        </w:rPr>
      </w:pPr>
      <w:r>
        <w:rPr>
          <w:lang w:val="en-US"/>
        </w:rPr>
        <w:t xml:space="preserve">That is, the mutation rate of maladapted individuals must be larger than that of well-adapted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Pr>
          <w:rFonts w:ascii="Times New Roman" w:hAnsi="Times New Roman"/>
          <w:i/>
          <w:iCs/>
          <w:lang w:val="en-US"/>
        </w:rPr>
        <w:t xml:space="preserve"> - 1&lt;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lastRenderedPageBreak/>
        <w:t>Simulation results</w:t>
      </w:r>
    </w:p>
    <w:p w:rsidR="00FE1408" w:rsidRDefault="00F42B8F" w:rsidP="00E11936">
      <w:pPr>
        <w:pStyle w:val="Firstparagraph"/>
        <w:rPr>
          <w:lang w:val="en-US"/>
        </w:rPr>
      </w:pPr>
      <w:r>
        <w:rPr>
          <w:lang w:val="en-US"/>
        </w:rPr>
        <w:t>F</w:t>
      </w:r>
      <w:r w:rsidR="00FE1408">
        <w:rPr>
          <w:lang w:val="en-US"/>
        </w:rPr>
        <w:t>igure 2</w:t>
      </w:r>
      <w:r>
        <w:rPr>
          <w:lang w:val="en-US"/>
        </w:rPr>
        <w:t xml:space="preserve"> shows the effect os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E11936">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both the approximations and the simulation results agree 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th</w:t>
      </w:r>
      <w:r w:rsidR="00E11936">
        <w:rPr>
          <w:lang w:val="en-US"/>
        </w:rPr>
        <w:t>ee fold increase of mutation rate in stressed individuals</w:t>
      </w:r>
      <w:r>
        <w:rPr>
          <w:lang w:val="en-US"/>
        </w:rPr>
        <w:t>.</w:t>
      </w:r>
    </w:p>
    <w:p w:rsidR="00FE1408" w:rsidRDefault="004B3BD6" w:rsidP="00D42AA6">
      <w:pPr>
        <w:keepNext/>
        <w:jc w:val="center"/>
      </w:pPr>
      <w:r>
        <w:rPr>
          <w:noProof/>
          <w:lang w:val="en-US" w:bidi="he-IL"/>
        </w:rPr>
        <w:lastRenderedPageBreak/>
        <w:drawing>
          <wp:inline distT="0" distB="0" distL="0" distR="0" wp14:anchorId="7305D776" wp14:editId="4227C1FA">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E11936">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 xml:space="preserve">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w:t>
      </w:r>
      <w:r w:rsidR="0081186D">
        <w:rPr>
          <w:b w:val="0"/>
          <w:bCs w:val="0"/>
          <w:lang w:val="en-US"/>
        </w:rPr>
        <w:t xml:space="preserve">Eq. </w:t>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to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decreae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E11936">
      <w:pPr>
        <w:pStyle w:val="Firstparagraph"/>
        <w:rPr>
          <w:lang w:val="en-US"/>
        </w:rPr>
      </w:pPr>
      <w:r>
        <w:rPr>
          <w:lang w:val="en-US"/>
        </w:rPr>
        <w:t xml:space="preserve">We studied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D303A2">
        <w:rPr>
          <w:lang w:val="en-US"/>
        </w:rPr>
        <w:t>analysis, validated by simulatios</w:t>
      </w:r>
      <w:r>
        <w:rPr>
          <w:lang w:val="en-US"/>
        </w:rPr>
        <w:t>, show</w:t>
      </w:r>
      <w:r w:rsidR="00D303A2">
        <w:rPr>
          <w:lang w:val="en-US"/>
        </w:rPr>
        <w:t>s</w:t>
      </w:r>
      <w:r>
        <w:rPr>
          <w:lang w:val="en-US"/>
        </w:rPr>
        <w:t xml:space="preserve">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individuals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FB219C">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experimentaly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FB219C">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9F66C0">
        <w:rPr>
          <w:lang w:val="en-US"/>
        </w:rPr>
        <w:t>s in 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FB219C">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FB219C">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FB219C">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r w:rsidR="00E11936">
        <w:rPr>
          <w:lang w:val="en-US"/>
        </w:rPr>
        <w:t xml:space="preserve">SIM </w:t>
      </w:r>
      <w:r w:rsidR="00E11936">
        <w:rPr>
          <w:lang w:val="en-US"/>
        </w:rPr>
        <w:t xml:space="preserve"> as </w:t>
      </w:r>
      <w:bookmarkStart w:id="12" w:name="_GoBack"/>
      <w:bookmarkEnd w:id="12"/>
      <w:r>
        <w:rPr>
          <w:lang w:val="en-US"/>
        </w:rPr>
        <w:t>another mechanism that can help resolve this century old problem.</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lastRenderedPageBreak/>
        <w:t xml:space="preserve">Data </w:t>
      </w:r>
      <w:r w:rsidR="00AE4CC8">
        <w:rPr>
          <w:lang w:val="en-US"/>
        </w:rPr>
        <w:t>a</w:t>
      </w:r>
      <w:r>
        <w:rPr>
          <w:lang w:val="en-US"/>
        </w:rPr>
        <w:t>ccessability</w:t>
      </w:r>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r w:rsidR="003D4177">
        <w:t xml:space="preserve">GitHub at </w:t>
      </w:r>
      <w:hyperlink r:id="rId12" w:history="1">
        <w:r w:rsidRPr="00EF674F">
          <w:rPr>
            <w:rStyle w:val="Hyperlink"/>
          </w:rPr>
          <w:t>https://github.com/yoavram/ruggedsim.git</w:t>
        </w:r>
      </w:hyperlink>
      <w:r w:rsidR="003D4177">
        <w:t>.</w:t>
      </w:r>
      <w:r w:rsidR="003D35E9">
        <w:t xml:space="preserve"> </w:t>
      </w:r>
      <w:r w:rsidR="003D35E9">
        <w:rPr>
          <w:lang w:val="en-US"/>
        </w:rPr>
        <w:t>The codeis written in Python (</w:t>
      </w:r>
      <w:hyperlink r:id="rId13" w:history="1">
        <w:r w:rsidR="003D35E9" w:rsidRPr="00A41C79">
          <w:rPr>
            <w:rStyle w:val="Hyperlink"/>
            <w:lang w:val="en-US"/>
          </w:rPr>
          <w:t>http://www.python.org</w:t>
        </w:r>
      </w:hyperlink>
      <w:r w:rsidR="003D35E9">
        <w:rPr>
          <w:lang w:val="en-US"/>
        </w:rPr>
        <w:t>) using NumPy (</w:t>
      </w:r>
      <w:hyperlink r:id="rId14" w:history="1">
        <w:r w:rsidR="003D35E9" w:rsidRPr="00A41C79">
          <w:rPr>
            <w:rStyle w:val="Hyperlink"/>
            <w:lang w:val="en-US"/>
          </w:rPr>
          <w:t>http://www.numpy.org</w:t>
        </w:r>
      </w:hyperlink>
      <w:r w:rsidR="003D35E9">
        <w:rPr>
          <w:lang w:val="en-US"/>
        </w:rPr>
        <w:t>) and SciPy (</w:t>
      </w:r>
      <w:hyperlink r:id="rId15" w:history="1">
        <w:r w:rsidR="003D35E9" w:rsidRPr="00A41C79">
          <w:rPr>
            <w:rStyle w:val="Hyperlink"/>
            <w:lang w:val="en-US"/>
          </w:rPr>
          <w:t>http://www.scipy.org</w:t>
        </w:r>
      </w:hyperlink>
      <w:r w:rsidR="003D35E9">
        <w:rPr>
          <w:lang w:val="en-US"/>
        </w:rPr>
        <w:t>).</w:t>
      </w:r>
    </w:p>
    <w:p w:rsidR="003277CF" w:rsidRDefault="003277CF" w:rsidP="003277CF">
      <w:pPr>
        <w:pStyle w:val="Heading1"/>
        <w:rPr>
          <w:lang w:val="en-US"/>
        </w:rPr>
      </w:pPr>
      <w:r>
        <w:rPr>
          <w:lang w:val="en-US"/>
        </w:rPr>
        <w:t>References</w:t>
      </w:r>
    </w:p>
    <w:p w:rsidR="00FB219C" w:rsidRPr="00FB219C" w:rsidRDefault="00127E33">
      <w:pPr>
        <w:pStyle w:val="NormalWeb"/>
        <w:ind w:left="640" w:hanging="640"/>
        <w:divId w:val="1346244422"/>
        <w:rPr>
          <w:rFonts w:ascii="cmr10" w:hAnsi="cmr10"/>
          <w:noProof/>
          <w:sz w:val="20"/>
        </w:rPr>
      </w:pPr>
      <w:r>
        <w:fldChar w:fldCharType="begin" w:fldLock="1"/>
      </w:r>
      <w:r>
        <w:instrText xml:space="preserve">ADDIN Mendeley Bibliography CSL_BIBLIOGRAPHY </w:instrText>
      </w:r>
      <w:r>
        <w:fldChar w:fldCharType="separate"/>
      </w:r>
      <w:r w:rsidR="00FB219C" w:rsidRPr="00FB219C">
        <w:rPr>
          <w:rFonts w:ascii="cmr10" w:hAnsi="cmr10"/>
          <w:noProof/>
          <w:sz w:val="20"/>
        </w:rPr>
        <w:t xml:space="preserve">1 </w:t>
      </w:r>
      <w:r w:rsidR="00FB219C" w:rsidRPr="00FB219C">
        <w:rPr>
          <w:rFonts w:ascii="cmr10" w:hAnsi="cmr10"/>
          <w:noProof/>
          <w:sz w:val="20"/>
        </w:rPr>
        <w:tab/>
        <w:t xml:space="preserve">Galhardo, R. S., Hastings, P. J. &amp; Rosenberg, S. M. 2007 Mutation as a stress response and the regulation of evolvability. </w:t>
      </w:r>
      <w:r w:rsidR="00FB219C" w:rsidRPr="00FB219C">
        <w:rPr>
          <w:rFonts w:ascii="cmr10" w:hAnsi="cmr10"/>
          <w:i/>
          <w:iCs/>
          <w:noProof/>
          <w:sz w:val="20"/>
        </w:rPr>
        <w:t>Crit. Rev. Biochem. Mol. Biol.</w:t>
      </w:r>
      <w:r w:rsidR="00FB219C" w:rsidRPr="00FB219C">
        <w:rPr>
          <w:rFonts w:ascii="cmr10" w:hAnsi="cmr10"/>
          <w:noProof/>
          <w:sz w:val="20"/>
        </w:rPr>
        <w:t xml:space="preserve"> </w:t>
      </w:r>
      <w:r w:rsidR="00FB219C" w:rsidRPr="00FB219C">
        <w:rPr>
          <w:rFonts w:ascii="cmr10" w:hAnsi="cmr10"/>
          <w:b/>
          <w:bCs/>
          <w:noProof/>
          <w:sz w:val="20"/>
        </w:rPr>
        <w:t>42</w:t>
      </w:r>
      <w:r w:rsidR="00FB219C" w:rsidRPr="00FB219C">
        <w:rPr>
          <w:rFonts w:ascii="cmr10" w:hAnsi="cmr10"/>
          <w:noProof/>
          <w:sz w:val="20"/>
        </w:rPr>
        <w:t>, 399–435. (doi:10.1080/10409230701648502)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 </w:t>
      </w:r>
      <w:r w:rsidRPr="00FB219C">
        <w:rPr>
          <w:rFonts w:ascii="cmr10" w:hAnsi="cmr10"/>
          <w:noProof/>
          <w:sz w:val="20"/>
        </w:rPr>
        <w:tab/>
        <w:t xml:space="preserve">Sharp, N. P. &amp; Agrawal, A. F. 2012 Evidence for elevated mutation rates in low-quality genotypes. </w:t>
      </w:r>
      <w:r w:rsidRPr="00FB219C">
        <w:rPr>
          <w:rFonts w:ascii="cmr10" w:hAnsi="cmr10"/>
          <w:i/>
          <w:iCs/>
          <w:noProof/>
          <w:sz w:val="20"/>
        </w:rPr>
        <w:t>Proc. Natl. Acad. Sci. US. A.</w:t>
      </w:r>
      <w:r w:rsidRPr="00FB219C">
        <w:rPr>
          <w:rFonts w:ascii="cmr10" w:hAnsi="cmr10"/>
          <w:noProof/>
          <w:sz w:val="20"/>
        </w:rPr>
        <w:t xml:space="preserve"> </w:t>
      </w:r>
      <w:r w:rsidRPr="00FB219C">
        <w:rPr>
          <w:rFonts w:ascii="cmr10" w:hAnsi="cmr10"/>
          <w:b/>
          <w:bCs/>
          <w:noProof/>
          <w:sz w:val="20"/>
        </w:rPr>
        <w:t>109</w:t>
      </w:r>
      <w:r w:rsidRPr="00FB219C">
        <w:rPr>
          <w:rFonts w:ascii="cmr10" w:hAnsi="cmr10"/>
          <w:noProof/>
          <w:sz w:val="20"/>
        </w:rPr>
        <w:t>, 6142–6. (doi:10.1073/pnas.1118918109)</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3 </w:t>
      </w:r>
      <w:r w:rsidRPr="00FB219C">
        <w:rPr>
          <w:rFonts w:ascii="cmr10" w:hAnsi="cmr10"/>
          <w:noProof/>
          <w:sz w:val="20"/>
        </w:rPr>
        <w:tab/>
        <w:t xml:space="preserve">MacLean, R. C., Torres-Barceló, C. &amp; Moxon, R. 2013 Evaluating evolutionary models of stress-induced mutagenesis in bacteria. </w:t>
      </w:r>
      <w:r w:rsidRPr="00FB219C">
        <w:rPr>
          <w:rFonts w:ascii="cmr10" w:hAnsi="cmr10"/>
          <w:i/>
          <w:iCs/>
          <w:noProof/>
          <w:sz w:val="20"/>
        </w:rPr>
        <w:t>Nat. Rev. Genet.</w:t>
      </w:r>
      <w:r w:rsidRPr="00FB219C">
        <w:rPr>
          <w:rFonts w:ascii="cmr10" w:hAnsi="cmr10"/>
          <w:noProof/>
          <w:sz w:val="20"/>
        </w:rPr>
        <w:t xml:space="preserve"> </w:t>
      </w:r>
      <w:r w:rsidRPr="00FB219C">
        <w:rPr>
          <w:rFonts w:ascii="cmr10" w:hAnsi="cmr10"/>
          <w:b/>
          <w:bCs/>
          <w:noProof/>
          <w:sz w:val="20"/>
        </w:rPr>
        <w:t>14</w:t>
      </w:r>
      <w:r w:rsidRPr="00FB219C">
        <w:rPr>
          <w:rFonts w:ascii="cmr10" w:hAnsi="cmr10"/>
          <w:noProof/>
          <w:sz w:val="20"/>
        </w:rPr>
        <w:t>, 221–7. (doi:10.1038/nrg3415)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4 </w:t>
      </w:r>
      <w:r w:rsidRPr="00FB219C">
        <w:rPr>
          <w:rFonts w:ascii="cmr10" w:hAnsi="cmr10"/>
          <w:noProof/>
          <w:sz w:val="20"/>
        </w:rPr>
        <w:tab/>
        <w:t xml:space="preserve">Tenaillon, O., Denamur, E. &amp; Matic, I. 2004 Evolutionary significance of stress-induced mutagenesis in bacteria. </w:t>
      </w:r>
      <w:r w:rsidRPr="00FB219C">
        <w:rPr>
          <w:rFonts w:ascii="cmr10" w:hAnsi="cmr10"/>
          <w:i/>
          <w:iCs/>
          <w:noProof/>
          <w:sz w:val="20"/>
        </w:rPr>
        <w:t>Trends. Microbiol.</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264–70. (doi:10.1016/j.tim.2004.04.002)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5 </w:t>
      </w:r>
      <w:r w:rsidRPr="00FB219C">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FB219C">
        <w:rPr>
          <w:rFonts w:ascii="cmr10" w:hAnsi="cmr10"/>
          <w:i/>
          <w:iCs/>
          <w:noProof/>
          <w:sz w:val="20"/>
        </w:rPr>
        <w:t>Bioessays.</w:t>
      </w:r>
      <w:r w:rsidRPr="00FB219C">
        <w:rPr>
          <w:rFonts w:ascii="cmr10" w:hAnsi="cmr10"/>
          <w:noProof/>
          <w:sz w:val="20"/>
        </w:rPr>
        <w:t xml:space="preserve"> , 1–8. (doi:10.1002/bies.201200050)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6 </w:t>
      </w:r>
      <w:r w:rsidRPr="00FB219C">
        <w:rPr>
          <w:rFonts w:ascii="cmr10" w:hAnsi="cmr10"/>
          <w:noProof/>
          <w:sz w:val="20"/>
        </w:rPr>
        <w:tab/>
        <w:t xml:space="preserve">Ram, Y. &amp; Hadany, L. 2012 The evolution of stress-induced hypermutation in asexual populations.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66</w:t>
      </w:r>
      <w:r w:rsidRPr="00FB219C">
        <w:rPr>
          <w:rFonts w:ascii="cmr10" w:hAnsi="cmr10"/>
          <w:noProof/>
          <w:sz w:val="20"/>
        </w:rPr>
        <w:t>, 2315–28. (doi:10.1111/j.1558-5646.2012.01576.x)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7 </w:t>
      </w:r>
      <w:r w:rsidRPr="00FB219C">
        <w:rPr>
          <w:rFonts w:ascii="cmr10" w:hAnsi="cmr10"/>
          <w:noProof/>
          <w:sz w:val="20"/>
        </w:rPr>
        <w:tab/>
        <w:t xml:space="preserve">Kibota, T. T. &amp; Lynch, M. 1996 Estimate of the genomic mutation rate deleterious to overall fitness in E. coli.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381</w:t>
      </w:r>
      <w:r w:rsidRPr="00FB219C">
        <w:rPr>
          <w:rFonts w:ascii="cmr10" w:hAnsi="cmr10"/>
          <w:noProof/>
          <w:sz w:val="20"/>
        </w:rPr>
        <w:t>, 694–6. (doi:10.1038/381694a0)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8 </w:t>
      </w:r>
      <w:r w:rsidRPr="00FB219C">
        <w:rPr>
          <w:rFonts w:ascii="cmr10" w:hAnsi="cmr10"/>
          <w:noProof/>
          <w:sz w:val="20"/>
        </w:rPr>
        <w:tab/>
        <w:t xml:space="preserve">Gordo, I., Perfeito, L. &amp; Sousa, A. 2011 Fitness effects of mutations in bacteria. </w:t>
      </w:r>
      <w:r w:rsidRPr="00FB219C">
        <w:rPr>
          <w:rFonts w:ascii="cmr10" w:hAnsi="cmr10"/>
          <w:i/>
          <w:iCs/>
          <w:noProof/>
          <w:sz w:val="20"/>
        </w:rPr>
        <w:t>J. Mol. Microbiol. Biotechnol.</w:t>
      </w:r>
      <w:r w:rsidRPr="00FB219C">
        <w:rPr>
          <w:rFonts w:ascii="cmr10" w:hAnsi="cmr10"/>
          <w:noProof/>
          <w:sz w:val="20"/>
        </w:rPr>
        <w:t xml:space="preserve"> </w:t>
      </w:r>
      <w:r w:rsidRPr="00FB219C">
        <w:rPr>
          <w:rFonts w:ascii="cmr10" w:hAnsi="cmr10"/>
          <w:b/>
          <w:bCs/>
          <w:noProof/>
          <w:sz w:val="20"/>
        </w:rPr>
        <w:t>21</w:t>
      </w:r>
      <w:r w:rsidRPr="00FB219C">
        <w:rPr>
          <w:rFonts w:ascii="cmr10" w:hAnsi="cmr10"/>
          <w:noProof/>
          <w:sz w:val="20"/>
        </w:rPr>
        <w:t>, 20–35. (doi:10.1159/000332747)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9 </w:t>
      </w:r>
      <w:r w:rsidRPr="00FB219C">
        <w:rPr>
          <w:rFonts w:ascii="cmr10" w:hAnsi="cmr10"/>
          <w:noProof/>
          <w:sz w:val="20"/>
        </w:rPr>
        <w:tab/>
        <w:t xml:space="preserve">Drake, J. W., Charlesworth, B., Charlesworth, D. &amp; Crow, J. F. 1998 Rates of spontaneous mutation. </w:t>
      </w:r>
      <w:r w:rsidRPr="00FB219C">
        <w:rPr>
          <w:rFonts w:ascii="cmr10" w:hAnsi="cmr10"/>
          <w:i/>
          <w:iCs/>
          <w:noProof/>
          <w:sz w:val="20"/>
        </w:rPr>
        <w:t>Genetics.</w:t>
      </w:r>
      <w:r w:rsidRPr="00FB219C">
        <w:rPr>
          <w:rFonts w:ascii="cmr10" w:hAnsi="cmr10"/>
          <w:noProof/>
          <w:sz w:val="20"/>
        </w:rPr>
        <w:t xml:space="preserve"> </w:t>
      </w:r>
      <w:r w:rsidRPr="00FB219C">
        <w:rPr>
          <w:rFonts w:ascii="cmr10" w:hAnsi="cmr10"/>
          <w:b/>
          <w:bCs/>
          <w:noProof/>
          <w:sz w:val="20"/>
        </w:rPr>
        <w:t>148</w:t>
      </w:r>
      <w:r w:rsidRPr="00FB219C">
        <w:rPr>
          <w:rFonts w:ascii="cmr10" w:hAnsi="cmr10"/>
          <w:noProof/>
          <w:sz w:val="20"/>
        </w:rPr>
        <w:t xml:space="preserve">, 1667–86. </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10 </w:t>
      </w:r>
      <w:r w:rsidRPr="00FB219C">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FB219C">
        <w:rPr>
          <w:rFonts w:ascii="cmr10" w:hAnsi="cmr10"/>
          <w:i/>
          <w:iCs/>
          <w:noProof/>
          <w:sz w:val="20"/>
        </w:rPr>
        <w:t>G3: Genes, Genomes, Genetics</w:t>
      </w:r>
      <w:r w:rsidRPr="00FB219C">
        <w:rPr>
          <w:rFonts w:ascii="cmr10" w:hAnsi="cmr10"/>
          <w:noProof/>
          <w:sz w:val="20"/>
        </w:rPr>
        <w:t xml:space="preserve"> </w:t>
      </w:r>
      <w:r w:rsidRPr="00FB219C">
        <w:rPr>
          <w:rFonts w:ascii="cmr10" w:hAnsi="cmr10"/>
          <w:b/>
          <w:bCs/>
          <w:noProof/>
          <w:sz w:val="20"/>
        </w:rPr>
        <w:t>1</w:t>
      </w:r>
      <w:r w:rsidRPr="00FB219C">
        <w:rPr>
          <w:rFonts w:ascii="cmr10" w:hAnsi="cmr10"/>
          <w:noProof/>
          <w:sz w:val="20"/>
        </w:rPr>
        <w:t>, 183. (doi:10.1534/g3.111.000406)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11 </w:t>
      </w:r>
      <w:r w:rsidRPr="00FB219C">
        <w:rPr>
          <w:rFonts w:ascii="cmr10" w:hAnsi="cmr10"/>
          <w:noProof/>
          <w:sz w:val="20"/>
        </w:rPr>
        <w:tab/>
        <w:t xml:space="preserve">Bjedov, I., Tenaillon, O., Gérard, B., Souza, V., Denamur, E., Radman, M., Taddei, F. &amp; Matic, I. 2003 Stress-induced mutagenesis in bacteria.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300</w:t>
      </w:r>
      <w:r w:rsidRPr="00FB219C">
        <w:rPr>
          <w:rFonts w:ascii="cmr10" w:hAnsi="cmr10"/>
          <w:noProof/>
          <w:sz w:val="20"/>
        </w:rPr>
        <w:t>, 1404–9. (doi:10.1126/science.1082240)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12 </w:t>
      </w:r>
      <w:r w:rsidRPr="00FB219C">
        <w:rPr>
          <w:rFonts w:ascii="cmr10" w:hAnsi="cmr10"/>
          <w:noProof/>
          <w:sz w:val="20"/>
        </w:rPr>
        <w:tab/>
        <w:t xml:space="preserve">Hall, L. M. C. &amp; Henderson-Begg, S. K. 2006 Hypermutable bacteria isolated from humans--a critical analysis. </w:t>
      </w:r>
      <w:r w:rsidRPr="00FB219C">
        <w:rPr>
          <w:rFonts w:ascii="cmr10" w:hAnsi="cmr10"/>
          <w:i/>
          <w:iCs/>
          <w:noProof/>
          <w:sz w:val="20"/>
        </w:rPr>
        <w:t>Microbiology</w:t>
      </w:r>
      <w:r w:rsidRPr="00FB219C">
        <w:rPr>
          <w:rFonts w:ascii="cmr10" w:hAnsi="cmr10"/>
          <w:noProof/>
          <w:sz w:val="20"/>
        </w:rPr>
        <w:t xml:space="preserve"> </w:t>
      </w:r>
      <w:r w:rsidRPr="00FB219C">
        <w:rPr>
          <w:rFonts w:ascii="cmr10" w:hAnsi="cmr10"/>
          <w:b/>
          <w:bCs/>
          <w:noProof/>
          <w:sz w:val="20"/>
        </w:rPr>
        <w:t>152</w:t>
      </w:r>
      <w:r w:rsidRPr="00FB219C">
        <w:rPr>
          <w:rFonts w:ascii="cmr10" w:hAnsi="cmr10"/>
          <w:noProof/>
          <w:sz w:val="20"/>
        </w:rPr>
        <w:t>, 2505–14. (doi:10.1099/mic.0.29079-0)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13 </w:t>
      </w:r>
      <w:r w:rsidRPr="00FB219C">
        <w:rPr>
          <w:rFonts w:ascii="cmr10" w:hAnsi="cmr10"/>
          <w:noProof/>
          <w:sz w:val="20"/>
        </w:rPr>
        <w:tab/>
        <w:t xml:space="preserve">Eshel, I. 1981 On the survival probability of a slightly advantageous mutant gene with a general distribution of progeny size - a branching process model. </w:t>
      </w:r>
      <w:r w:rsidRPr="00FB219C">
        <w:rPr>
          <w:rFonts w:ascii="cmr10" w:hAnsi="cmr10"/>
          <w:i/>
          <w:iCs/>
          <w:noProof/>
          <w:sz w:val="20"/>
        </w:rPr>
        <w:t>Journal of Mathematical Biology</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355–362. (doi:10.1007/BF00276922)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14 </w:t>
      </w:r>
      <w:r w:rsidRPr="00FB219C">
        <w:rPr>
          <w:rFonts w:ascii="cmr10" w:hAnsi="cmr10"/>
          <w:noProof/>
          <w:sz w:val="20"/>
        </w:rPr>
        <w:tab/>
        <w:t xml:space="preserve">Taddei, F., Radman, M., Maynard Smith, J., Toupance, B., Gouyon, P.-H. &amp; Godelle, B. 1997 Role of mutator alleles in adaptive evolution.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387</w:t>
      </w:r>
      <w:r w:rsidRPr="00FB219C">
        <w:rPr>
          <w:rFonts w:ascii="cmr10" w:hAnsi="cmr10"/>
          <w:noProof/>
          <w:sz w:val="20"/>
        </w:rPr>
        <w:t>, 700–2. (doi:10.1038/42696)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15 </w:t>
      </w:r>
      <w:r w:rsidRPr="00FB219C">
        <w:rPr>
          <w:rFonts w:ascii="cmr10" w:hAnsi="cmr10"/>
          <w:noProof/>
          <w:sz w:val="20"/>
        </w:rPr>
        <w:tab/>
        <w:t xml:space="preserve">Cirz, R. T. &amp; Romesberg, F. E. 2007 Controlling mutation: intervening in evolution as a therapeutic strategy. </w:t>
      </w:r>
      <w:r w:rsidRPr="00FB219C">
        <w:rPr>
          <w:rFonts w:ascii="cmr10" w:hAnsi="cmr10"/>
          <w:i/>
          <w:iCs/>
          <w:noProof/>
          <w:sz w:val="20"/>
        </w:rPr>
        <w:t>Crit. Rev. Biochem. Mol. Biol.</w:t>
      </w:r>
      <w:r w:rsidRPr="00FB219C">
        <w:rPr>
          <w:rFonts w:ascii="cmr10" w:hAnsi="cmr10"/>
          <w:noProof/>
          <w:sz w:val="20"/>
        </w:rPr>
        <w:t xml:space="preserve"> </w:t>
      </w:r>
      <w:r w:rsidRPr="00FB219C">
        <w:rPr>
          <w:rFonts w:ascii="cmr10" w:hAnsi="cmr10"/>
          <w:b/>
          <w:bCs/>
          <w:noProof/>
          <w:sz w:val="20"/>
        </w:rPr>
        <w:t>42</w:t>
      </w:r>
      <w:r w:rsidRPr="00FB219C">
        <w:rPr>
          <w:rFonts w:ascii="cmr10" w:hAnsi="cmr10"/>
          <w:noProof/>
          <w:sz w:val="20"/>
        </w:rPr>
        <w:t>, 341–54. (doi:10.1080/10409230701597741)</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16 </w:t>
      </w:r>
      <w:r w:rsidRPr="00FB219C">
        <w:rPr>
          <w:rFonts w:ascii="cmr10" w:hAnsi="cmr10"/>
          <w:noProof/>
          <w:sz w:val="20"/>
        </w:rPr>
        <w:tab/>
        <w:t xml:space="preserve">Wright, S. 1988 Surfaces of selective value revisited. </w:t>
      </w:r>
      <w:r w:rsidRPr="00FB219C">
        <w:rPr>
          <w:rFonts w:ascii="cmr10" w:hAnsi="cmr10"/>
          <w:i/>
          <w:iCs/>
          <w:noProof/>
          <w:sz w:val="20"/>
        </w:rPr>
        <w:t>American Naturalist</w:t>
      </w:r>
      <w:r w:rsidRPr="00FB219C">
        <w:rPr>
          <w:rFonts w:ascii="cmr10" w:hAnsi="cmr10"/>
          <w:noProof/>
          <w:sz w:val="20"/>
        </w:rPr>
        <w:t xml:space="preserve"> </w:t>
      </w:r>
      <w:r w:rsidRPr="00FB219C">
        <w:rPr>
          <w:rFonts w:ascii="cmr10" w:hAnsi="cmr10"/>
          <w:b/>
          <w:bCs/>
          <w:noProof/>
          <w:sz w:val="20"/>
        </w:rPr>
        <w:t>131</w:t>
      </w:r>
      <w:r w:rsidRPr="00FB219C">
        <w:rPr>
          <w:rFonts w:ascii="cmr10" w:hAnsi="cmr10"/>
          <w:noProof/>
          <w:sz w:val="20"/>
        </w:rPr>
        <w:t>, 115–123. (doi:10.1086/284777)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17 </w:t>
      </w:r>
      <w:r w:rsidRPr="00FB219C">
        <w:rPr>
          <w:rFonts w:ascii="cmr10" w:hAnsi="cmr10"/>
          <w:noProof/>
          <w:sz w:val="20"/>
        </w:rPr>
        <w:tab/>
        <w:t xml:space="preserve">Crow, J. F., Engels, W. R. &amp; Denniston, C. 1990 Phase Three of Wright’s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44</w:t>
      </w:r>
      <w:r w:rsidRPr="00FB219C">
        <w:rPr>
          <w:rFonts w:ascii="cmr10" w:hAnsi="cmr10"/>
          <w:noProof/>
          <w:sz w:val="20"/>
        </w:rPr>
        <w:t>, 233. (doi:10.2307/2409403)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18 </w:t>
      </w:r>
      <w:r w:rsidRPr="00FB219C">
        <w:rPr>
          <w:rFonts w:ascii="cmr10" w:hAnsi="cmr10"/>
          <w:noProof/>
          <w:sz w:val="20"/>
        </w:rPr>
        <w:tab/>
        <w:t xml:space="preserve">Wade, M. &amp; Goodnight, C. 1991 Wright’s shifting balance theory: an experimental study.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253</w:t>
      </w:r>
      <w:r w:rsidRPr="00FB219C">
        <w:rPr>
          <w:rFonts w:ascii="cmr10" w:hAnsi="cmr10"/>
          <w:noProof/>
          <w:sz w:val="20"/>
        </w:rPr>
        <w:t>, 1015–1018. (doi:10.1126/science.1887214)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19 </w:t>
      </w:r>
      <w:r w:rsidRPr="00FB219C">
        <w:rPr>
          <w:rFonts w:ascii="cmr10" w:hAnsi="cmr10"/>
          <w:noProof/>
          <w:sz w:val="20"/>
        </w:rPr>
        <w:tab/>
        <w:t xml:space="preserve">Peck, S. L., Ellner, S. P. &amp; Gould, F. 2000 Varying migration and deme size and the feasibility of the shifting balance.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324–7. (doi:10.1111/j.0014-3820.2000.tb00035.x)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20 </w:t>
      </w:r>
      <w:r w:rsidRPr="00FB219C">
        <w:rPr>
          <w:rFonts w:ascii="cmr10" w:hAnsi="cmr10"/>
          <w:noProof/>
          <w:sz w:val="20"/>
        </w:rPr>
        <w:tab/>
        <w:t xml:space="preserve">Moore, F. B.-G. &amp; Tonsor, S. J. 1994 A Simulation of Wright’s Shifting-Balance Process: Migration and the Three Phases.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48</w:t>
      </w:r>
      <w:r w:rsidRPr="00FB219C">
        <w:rPr>
          <w:rFonts w:ascii="cmr10" w:hAnsi="cmr10"/>
          <w:noProof/>
          <w:sz w:val="20"/>
        </w:rPr>
        <w:t>, 69. (doi:10.2307/2410004)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21 </w:t>
      </w:r>
      <w:r w:rsidRPr="00FB219C">
        <w:rPr>
          <w:rFonts w:ascii="cmr10" w:hAnsi="cmr10"/>
          <w:noProof/>
          <w:sz w:val="20"/>
        </w:rPr>
        <w:tab/>
        <w:t xml:space="preserve">Gavrilets, S. 1996 On phase three of the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50</w:t>
      </w:r>
      <w:r w:rsidRPr="00FB219C">
        <w:rPr>
          <w:rFonts w:ascii="cmr10" w:hAnsi="cmr10"/>
          <w:noProof/>
          <w:sz w:val="20"/>
        </w:rPr>
        <w:t>, 1034–1041. (doi:10.2307/2410644)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22 </w:t>
      </w:r>
      <w:r w:rsidRPr="00FB219C">
        <w:rPr>
          <w:rFonts w:ascii="cmr10" w:hAnsi="cmr10"/>
          <w:noProof/>
          <w:sz w:val="20"/>
        </w:rPr>
        <w:tab/>
        <w:t xml:space="preserve">Coyne, J. A., Barton, N. H. &amp; Turelli, M. 2000 Is Wright’s shifting balance process important in evolution?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306–317. (doi:10.1111/j.0014-3820.2000.tb00033.x)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23 </w:t>
      </w:r>
      <w:r w:rsidRPr="00FB219C">
        <w:rPr>
          <w:rFonts w:ascii="cmr10" w:hAnsi="cmr10"/>
          <w:noProof/>
          <w:sz w:val="20"/>
        </w:rPr>
        <w:tab/>
        <w:t xml:space="preserve">Whitlock, M. C. &amp; Phillips, P. C. 2000 The exquisite corpse: a shifting view of the shifting balance. </w:t>
      </w:r>
      <w:r w:rsidRPr="00FB219C">
        <w:rPr>
          <w:rFonts w:ascii="cmr10" w:hAnsi="cmr10"/>
          <w:i/>
          <w:iCs/>
          <w:noProof/>
          <w:sz w:val="20"/>
        </w:rPr>
        <w:t>Trends in Ecology &amp; Evolution</w:t>
      </w:r>
      <w:r w:rsidRPr="00FB219C">
        <w:rPr>
          <w:rFonts w:ascii="cmr10" w:hAnsi="cmr10"/>
          <w:noProof/>
          <w:sz w:val="20"/>
        </w:rPr>
        <w:t xml:space="preserve"> </w:t>
      </w:r>
      <w:r w:rsidRPr="00FB219C">
        <w:rPr>
          <w:rFonts w:ascii="cmr10" w:hAnsi="cmr10"/>
          <w:b/>
          <w:bCs/>
          <w:noProof/>
          <w:sz w:val="20"/>
        </w:rPr>
        <w:t>15</w:t>
      </w:r>
      <w:r w:rsidRPr="00FB219C">
        <w:rPr>
          <w:rFonts w:ascii="cmr10" w:hAnsi="cmr10"/>
          <w:noProof/>
          <w:sz w:val="20"/>
        </w:rPr>
        <w:t>, 347–348. (doi:10.1016/S0169-5347(00)01930-3)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24 </w:t>
      </w:r>
      <w:r w:rsidRPr="00FB219C">
        <w:rPr>
          <w:rFonts w:ascii="cmr10" w:hAnsi="cmr10"/>
          <w:noProof/>
          <w:sz w:val="20"/>
        </w:rPr>
        <w:tab/>
        <w:t xml:space="preserve">Whitlock, M. C. 1995 Variance-Induced Peak Shifts.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49</w:t>
      </w:r>
      <w:r w:rsidRPr="00FB219C">
        <w:rPr>
          <w:rFonts w:ascii="cmr10" w:hAnsi="cmr10"/>
          <w:noProof/>
          <w:sz w:val="20"/>
        </w:rPr>
        <w:t>, 252. (doi:10.2307/2410335)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25 </w:t>
      </w:r>
      <w:r w:rsidRPr="00FB219C">
        <w:rPr>
          <w:rFonts w:ascii="cmr10" w:hAnsi="cmr10"/>
          <w:noProof/>
          <w:sz w:val="20"/>
        </w:rPr>
        <w:tab/>
        <w:t xml:space="preserve">Whitlock, M. C. 1997 Founder Effects and Peak Shifts Without Genetic Drift: Adaptive Peak Shifts Occur Easily When Environments Fluctuate Slightly.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51</w:t>
      </w:r>
      <w:r w:rsidRPr="00FB219C">
        <w:rPr>
          <w:rFonts w:ascii="cmr10" w:hAnsi="cmr10"/>
          <w:noProof/>
          <w:sz w:val="20"/>
        </w:rPr>
        <w:t>, 1044. (doi:10.2307/2411033)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26 </w:t>
      </w:r>
      <w:r w:rsidRPr="00FB219C">
        <w:rPr>
          <w:rFonts w:ascii="cmr10" w:hAnsi="cmr10"/>
          <w:noProof/>
          <w:sz w:val="20"/>
        </w:rPr>
        <w:tab/>
        <w:t xml:space="preserve">Hadany, L. 2003 Adaptive peak shifts in a heterogenous environment. </w:t>
      </w:r>
      <w:r w:rsidRPr="00FB219C">
        <w:rPr>
          <w:rFonts w:ascii="cmr10" w:hAnsi="cmr10"/>
          <w:i/>
          <w:iCs/>
          <w:noProof/>
          <w:sz w:val="20"/>
        </w:rPr>
        <w:t>Theoretical Population Biology</w:t>
      </w:r>
      <w:r w:rsidRPr="00FB219C">
        <w:rPr>
          <w:rFonts w:ascii="cmr10" w:hAnsi="cmr10"/>
          <w:noProof/>
          <w:sz w:val="20"/>
        </w:rPr>
        <w:t xml:space="preserve"> </w:t>
      </w:r>
      <w:r w:rsidRPr="00FB219C">
        <w:rPr>
          <w:rFonts w:ascii="cmr10" w:hAnsi="cmr10"/>
          <w:b/>
          <w:bCs/>
          <w:noProof/>
          <w:sz w:val="20"/>
        </w:rPr>
        <w:t>63</w:t>
      </w:r>
      <w:r w:rsidRPr="00FB219C">
        <w:rPr>
          <w:rFonts w:ascii="cmr10" w:hAnsi="cmr10"/>
          <w:noProof/>
          <w:sz w:val="20"/>
        </w:rPr>
        <w:t>, 41–51. (doi:10.1016/S0040-5809(02)00011-4)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27 </w:t>
      </w:r>
      <w:r w:rsidRPr="00FB219C">
        <w:rPr>
          <w:rFonts w:ascii="cmr10" w:hAnsi="cmr10"/>
          <w:noProof/>
          <w:sz w:val="20"/>
        </w:rPr>
        <w:tab/>
        <w:t xml:space="preserve">Hadany, L. &amp; Beker, T. 2003 Fitness-associated recombination on rugged adaptive landscapes. </w:t>
      </w:r>
      <w:r w:rsidRPr="00FB219C">
        <w:rPr>
          <w:rFonts w:ascii="cmr10" w:hAnsi="cmr10"/>
          <w:i/>
          <w:iCs/>
          <w:noProof/>
          <w:sz w:val="20"/>
        </w:rPr>
        <w:t>Journal of Evolutionary Biology</w:t>
      </w:r>
      <w:r w:rsidRPr="00FB219C">
        <w:rPr>
          <w:rFonts w:ascii="cmr10" w:hAnsi="cmr10"/>
          <w:noProof/>
          <w:sz w:val="20"/>
        </w:rPr>
        <w:t xml:space="preserve"> </w:t>
      </w:r>
      <w:r w:rsidRPr="00FB219C">
        <w:rPr>
          <w:rFonts w:ascii="cmr10" w:hAnsi="cmr10"/>
          <w:b/>
          <w:bCs/>
          <w:noProof/>
          <w:sz w:val="20"/>
        </w:rPr>
        <w:t>16</w:t>
      </w:r>
      <w:r w:rsidRPr="00FB219C">
        <w:rPr>
          <w:rFonts w:ascii="cmr10" w:hAnsi="cmr10"/>
          <w:noProof/>
          <w:sz w:val="20"/>
        </w:rPr>
        <w:t>, 862–870. (doi:10.1046/j.1420-9101.2003.00586.x)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28 </w:t>
      </w:r>
      <w:r w:rsidRPr="00FB219C">
        <w:rPr>
          <w:rFonts w:ascii="cmr10" w:hAnsi="cmr10"/>
          <w:noProof/>
          <w:sz w:val="20"/>
        </w:rPr>
        <w:tab/>
        <w:t xml:space="preserve">Weissman, D. B., Desai, M. M., Fisher, D. S. &amp; Feldman, M. W. 2009 The rate at which asexual populations cross fitness valleys. </w:t>
      </w:r>
      <w:r w:rsidRPr="00FB219C">
        <w:rPr>
          <w:rFonts w:ascii="cmr10" w:hAnsi="cmr10"/>
          <w:i/>
          <w:iCs/>
          <w:noProof/>
          <w:sz w:val="20"/>
        </w:rPr>
        <w:t>Theor. Popul. Biol.</w:t>
      </w:r>
      <w:r w:rsidRPr="00FB219C">
        <w:rPr>
          <w:rFonts w:ascii="cmr10" w:hAnsi="cmr10"/>
          <w:noProof/>
          <w:sz w:val="20"/>
        </w:rPr>
        <w:t xml:space="preserve"> </w:t>
      </w:r>
      <w:r w:rsidRPr="00FB219C">
        <w:rPr>
          <w:rFonts w:ascii="cmr10" w:hAnsi="cmr10"/>
          <w:b/>
          <w:bCs/>
          <w:noProof/>
          <w:sz w:val="20"/>
        </w:rPr>
        <w:t>75</w:t>
      </w:r>
      <w:r w:rsidRPr="00FB219C">
        <w:rPr>
          <w:rFonts w:ascii="cmr10" w:hAnsi="cmr10"/>
          <w:noProof/>
          <w:sz w:val="20"/>
        </w:rPr>
        <w:t xml:space="preserve">, 286–300. (doi:10.1016/j.tpb.2009.02.006) </w:t>
      </w:r>
    </w:p>
    <w:p w:rsidR="003277CF" w:rsidRDefault="00127E33" w:rsidP="00FB219C">
      <w:pPr>
        <w:pStyle w:val="NormalWeb"/>
        <w:ind w:left="640" w:hanging="640"/>
        <w:divId w:val="1491209390"/>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At the mutation-selection balance (MSB), the frequency of wildtype (</w:t>
      </w:r>
      <w:r>
        <w:rPr>
          <w:i/>
          <w:iCs/>
          <w:lang w:val="en-US"/>
        </w:rPr>
        <w:t>ab</w:t>
      </w:r>
      <w:r>
        <w:rPr>
          <w:lang w:val="en-US"/>
        </w:rPr>
        <w:t xml:space="preserve">) individuals is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r>
        <w:rPr>
          <w:i/>
          <w:iCs/>
          <w:lang w:val="en-US"/>
        </w:rPr>
        <w:t>Ab</w:t>
      </w:r>
      <w:r>
        <w:rPr>
          <w:lang w:val="en-US"/>
        </w:rPr>
        <w:t xml:space="preserve"> and </w:t>
      </w:r>
      <w:r>
        <w:rPr>
          <w:i/>
          <w:iCs/>
          <w:lang w:val="en-US"/>
        </w:rPr>
        <w:t>aB</w:t>
      </w:r>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r w:rsidRPr="00FD5294">
        <w:rPr>
          <w:i/>
          <w:iCs/>
          <w:lang w:val="en-US"/>
        </w:rPr>
        <w:t>N</w:t>
      </w:r>
      <w:r>
        <w:rPr>
          <w:lang w:val="en-US"/>
        </w:rPr>
        <w:t>(</w:t>
      </w:r>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mutatns must be generated by a double mutation in a wildtype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Eqs.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wildtype individual, </w:t>
      </w:r>
      <w:r>
        <w:rPr>
          <w:i/>
          <w:iCs/>
          <w:lang w:val="en-US"/>
        </w:rPr>
        <w:t>ab</w:t>
      </w:r>
      <w:r>
        <w:rPr>
          <w:lang w:val="en-US"/>
        </w:rPr>
        <w:t xml:space="preserve">, or via a single mutation in a single mutant, </w:t>
      </w:r>
      <w:r>
        <w:rPr>
          <w:i/>
          <w:iCs/>
          <w:lang w:val="en-US"/>
        </w:rPr>
        <w:t>Ab</w:t>
      </w:r>
      <w:r>
        <w:rPr>
          <w:lang w:val="en-US"/>
        </w:rPr>
        <w:t xml:space="preserve"> or </w:t>
      </w:r>
      <w:r>
        <w:rPr>
          <w:i/>
          <w:iCs/>
          <w:lang w:val="en-US"/>
        </w:rPr>
        <w:t xml:space="preserve">aB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wildtype </w:t>
      </w:r>
      <w:r>
        <w:rPr>
          <w:i/>
          <w:iCs/>
          <w:lang w:val="en-US"/>
        </w:rPr>
        <w:t>ab</w:t>
      </w:r>
      <w:r>
        <w:rPr>
          <w:lang w:val="en-US"/>
        </w:rPr>
        <w:t xml:space="preserve"> and single mutants </w:t>
      </w:r>
      <w:r w:rsidRPr="00BB678E">
        <w:rPr>
          <w:i/>
          <w:iCs/>
          <w:lang w:val="en-US"/>
        </w:rPr>
        <w:t>aB</w:t>
      </w:r>
      <w:r>
        <w:rPr>
          <w:lang w:val="en-US"/>
        </w:rPr>
        <w:t xml:space="preserve"> and </w:t>
      </w:r>
      <w:r w:rsidRPr="005F3FF6">
        <w:rPr>
          <w:i/>
          <w:iCs/>
          <w:lang w:val="en-US"/>
        </w:rPr>
        <w:t>Ab</w:t>
      </w:r>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and  </w:t>
      </w:r>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3"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4"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4"/>
          </w:p>
        </w:tc>
      </w:tr>
    </w:tbl>
    <w:p w:rsidR="00966283" w:rsidRDefault="00966283" w:rsidP="00966283">
      <w:pPr>
        <w:ind w:firstLine="0"/>
        <w:rPr>
          <w:lang w:val="en-US"/>
        </w:rPr>
      </w:pPr>
      <w:r>
        <w:rPr>
          <w:lang w:val="en-US"/>
        </w:rPr>
        <w:t>Note that stress-induction increases the transition from single mutants to other types, but does not significantly change the MSB frequency of single mutants, because this frequency is mainly determined by the mutation rate of the wildtype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r>
        <w:rPr>
          <w:i/>
          <w:iCs/>
          <w:lang w:val="en-US"/>
        </w:rPr>
        <w:t>sU</w:t>
      </w:r>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r>
        <w:rPr>
          <w:i/>
          <w:iCs/>
          <w:lang w:val="en-US"/>
        </w:rPr>
        <w:t>Us</w:t>
      </w:r>
      <w:r>
        <w:rPr>
          <w:lang w:val="en-US"/>
        </w:rPr>
        <w:t xml:space="preserve"> is smaller than </w:t>
      </w:r>
      <w:r>
        <w:rPr>
          <w:i/>
          <w:iCs/>
          <w:lang w:val="en-US"/>
        </w:rPr>
        <w:t>U</w:t>
      </w:r>
      <w:r>
        <w:rPr>
          <w:lang w:val="en-US"/>
        </w:rPr>
        <w:t xml:space="preserve"> and that </w:t>
      </w:r>
      <w:r>
        <w:rPr>
          <w:rFonts w:ascii="Times New Roman" w:hAnsi="Times New Roman"/>
          <w:i/>
          <w:iCs/>
          <w:lang w:val="en-US"/>
        </w:rPr>
        <w:t>τ</w:t>
      </w:r>
      <w:r>
        <w:rPr>
          <w:i/>
          <w:iCs/>
          <w:lang w:val="en-US"/>
        </w:rPr>
        <w:t>U</w:t>
      </w:r>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6"/>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r>
        <w:rPr>
          <w:lang w:val="en-US"/>
        </w:rPr>
        <w:t>because</w:t>
      </w:r>
      <w:r w:rsidRPr="00BA00E0">
        <w:rPr>
          <w:lang w:val="en-US"/>
        </w:rPr>
        <w:t xml:space="preserve"> </w:t>
      </w:r>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7" w:name="_Ref354319797"/>
      <w:r>
        <w:rPr>
          <w:lang w:val="en-US"/>
        </w:rPr>
        <w:t>Fixation probability with stress-induced mutation</w:t>
      </w:r>
      <w:bookmarkEnd w:id="17"/>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Eshel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8"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8"/>
          </w:p>
        </w:tc>
      </w:tr>
    </w:tbl>
    <w:p w:rsidR="00BB678E" w:rsidRDefault="00BB678E" w:rsidP="00BB678E">
      <w:pPr>
        <w:ind w:firstLine="0"/>
        <w:rPr>
          <w:lang w:val="en-US"/>
        </w:rPr>
      </w:pPr>
      <w:r>
        <w:rPr>
          <w:lang w:val="en-US"/>
        </w:rPr>
        <w:t xml:space="preserve">where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9"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9"/>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20"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20"/>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1"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1"/>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of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is </w:t>
      </w:r>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r>
        <w:rPr>
          <w:lang w:val="en-US"/>
        </w:rPr>
        <w:t xml:space="preserve">Pluging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r>
        <w:rPr>
          <w:lang w:val="en-US"/>
        </w:rPr>
        <w:t>Pluging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2"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2"/>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 </w:t>
      </w:r>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r w:rsidRPr="001752B4">
        <w:rPr>
          <w:i/>
          <w:iCs/>
          <w:lang w:val="en-US"/>
        </w:rPr>
        <w:t>Nq</w:t>
      </w:r>
      <w:r>
        <w:rPr>
          <w:lang w:val="en-US"/>
        </w:rPr>
        <w:t xml:space="preserve"> is very small and therefore this probability can be approximated by </w:t>
      </w:r>
      <w:r>
        <w:rPr>
          <w:i/>
          <w:iCs/>
          <w:lang w:val="en-US"/>
        </w:rPr>
        <w:t>Nq</w:t>
      </w:r>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which will go to fixation </w:t>
      </w:r>
      <w:r>
        <w:rPr>
          <w:i/>
          <w:iCs/>
          <w:lang w:val="en-US"/>
        </w:rPr>
        <w:t>T</w:t>
      </w:r>
      <w:r>
        <w:rPr>
          <w:i/>
          <w:iCs/>
          <w:vertAlign w:val="subscript"/>
          <w:lang w:val="en-US"/>
        </w:rPr>
        <w:t>w</w:t>
      </w:r>
      <w:r>
        <w:rPr>
          <w:lang w:val="en-US"/>
        </w:rPr>
        <w:t xml:space="preserve">. This is true as long as fixation is  much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r w:rsidRPr="00D516F5">
        <w:rPr>
          <w:i/>
          <w:iCs/>
          <w:lang w:val="en-US"/>
        </w:rPr>
        <w:t>Nq</w:t>
      </w:r>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Eqs.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and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Eqs.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and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This condition can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apprxomated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550" w:rsidRDefault="00082550">
      <w:pPr>
        <w:spacing w:line="240" w:lineRule="auto"/>
      </w:pPr>
      <w:r>
        <w:separator/>
      </w:r>
    </w:p>
  </w:endnote>
  <w:endnote w:type="continuationSeparator" w:id="0">
    <w:p w:rsidR="00082550" w:rsidRDefault="000825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BFCFAA8-433B-487A-9843-5D5735B79522}"/>
  </w:font>
  <w:font w:name="Times New Roman">
    <w:panose1 w:val="02020603050405020304"/>
    <w:charset w:val="00"/>
    <w:family w:val="roman"/>
    <w:pitch w:val="variable"/>
    <w:sig w:usb0="E0002AFF" w:usb1="C0007841" w:usb2="00000009" w:usb3="00000000" w:csb0="000001FF" w:csb1="00000000"/>
    <w:embedRegular r:id="rId2" w:fontKey="{CD072AFE-C613-401D-B48E-29C9EF51BD77}"/>
    <w:embedBold r:id="rId3" w:fontKey="{24635008-B7F7-4E29-A030-5A021DCD6640}"/>
    <w:embedItalic r:id="rId4" w:fontKey="{F34D38D6-4EEF-4314-8923-1F44A5780123}"/>
  </w:font>
  <w:font w:name="cmr10">
    <w:panose1 w:val="020B0500000000000000"/>
    <w:charset w:val="00"/>
    <w:family w:val="swiss"/>
    <w:pitch w:val="variable"/>
    <w:sig w:usb0="00000003" w:usb1="00000000" w:usb2="00000000" w:usb3="00000000" w:csb0="00000001" w:csb1="00000000"/>
    <w:embedRegular r:id="rId5" w:fontKey="{07BFE245-AE46-414D-8C4D-170E894695C9}"/>
    <w:embedBold r:id="rId6" w:fontKey="{D3D313E6-0699-481B-805A-A48472F3E52E}"/>
    <w:embedItalic r:id="rId7" w:fontKey="{31DCD8EC-8E84-44DF-A5E5-0BCBE715F39D}"/>
  </w:font>
  <w:font w:name="cmbx12">
    <w:panose1 w:val="020B0500000000000000"/>
    <w:charset w:val="00"/>
    <w:family w:val="swiss"/>
    <w:pitch w:val="variable"/>
    <w:sig w:usb0="00000003" w:usb1="00000000" w:usb2="00000000" w:usb3="00000000" w:csb0="00000001" w:csb1="00000000"/>
    <w:embedRegular r:id="rId8" w:fontKey="{C1EA115C-D9B9-46A2-894B-C472C7B8360F}"/>
  </w:font>
  <w:font w:name="Arial">
    <w:panose1 w:val="020B0604020202020204"/>
    <w:charset w:val="00"/>
    <w:family w:val="swiss"/>
    <w:pitch w:val="variable"/>
    <w:sig w:usb0="E0002AFF" w:usb1="C0007843" w:usb2="00000009" w:usb3="00000000" w:csb0="000001FF" w:csb1="00000000"/>
    <w:embedRegular r:id="rId9" w:fontKey="{C9E468DA-DD3B-4D08-80B7-DC2E8509610A}"/>
    <w:embedBold r:id="rId10" w:fontKey="{D504ABFC-F61A-4C2D-84B1-5D3851686A5D}"/>
    <w:embedItalic r:id="rId11" w:fontKey="{7615C20A-494C-4A3C-9E25-AC6E2AFDACDF}"/>
    <w:embedBoldItalic r:id="rId12" w:fontKey="{99778F0A-FFDB-42B6-A8D8-583A143F7667}"/>
  </w:font>
  <w:font w:name="cmbx10">
    <w:altName w:val="Vrinda"/>
    <w:charset w:val="00"/>
    <w:family w:val="swiss"/>
    <w:pitch w:val="variable"/>
    <w:sig w:usb0="00000003" w:usb1="00000000" w:usb2="00000000" w:usb3="00000000" w:csb0="00000001" w:csb1="00000000"/>
    <w:embedRegular r:id="rId13" w:fontKey="{20D70721-D4C1-4A45-8C17-0B2FBD741D8C}"/>
  </w:font>
  <w:font w:name="Cambria">
    <w:panose1 w:val="02040503050406030204"/>
    <w:charset w:val="00"/>
    <w:family w:val="roman"/>
    <w:pitch w:val="variable"/>
    <w:sig w:usb0="E00002FF" w:usb1="400004FF" w:usb2="00000000" w:usb3="00000000" w:csb0="0000019F" w:csb1="00000000"/>
    <w:embedRegular r:id="rId14" w:fontKey="{27CE113C-B2E8-478F-83F2-05BA01BFBDE5}"/>
    <w:embedBold r:id="rId15" w:fontKey="{EE23307A-D1B6-4343-80B4-19E51A6EC0E0}"/>
  </w:font>
  <w:font w:name="cmti7">
    <w:altName w:val="Vrinda"/>
    <w:panose1 w:val="020B0500000000000000"/>
    <w:charset w:val="00"/>
    <w:family w:val="swiss"/>
    <w:pitch w:val="variable"/>
    <w:sig w:usb0="00000003" w:usb1="00000000" w:usb2="00000000" w:usb3="00000000" w:csb0="00000001" w:csb1="00000000"/>
    <w:embedBold r:id="rId16" w:fontKey="{DD05D8E8-46FF-4DC0-8C63-D29A5DF89834}"/>
  </w:font>
  <w:font w:name="Tahoma">
    <w:panose1 w:val="020B0604030504040204"/>
    <w:charset w:val="00"/>
    <w:family w:val="swiss"/>
    <w:pitch w:val="variable"/>
    <w:sig w:usb0="E1002EFF" w:usb1="C000605B" w:usb2="00000029" w:usb3="00000000" w:csb0="000101FF" w:csb1="00000000"/>
    <w:embedRegular r:id="rId17" w:fontKey="{8D9E7E10-46E7-4640-B874-BD4249A3FB2A}"/>
  </w:font>
  <w:font w:name="Consolas">
    <w:panose1 w:val="020B0609020204030204"/>
    <w:charset w:val="00"/>
    <w:family w:val="modern"/>
    <w:pitch w:val="fixed"/>
    <w:sig w:usb0="E10002FF" w:usb1="4000FCFF" w:usb2="00000009" w:usb3="00000000" w:csb0="0000019F" w:csb1="00000000"/>
    <w:embedRegular r:id="rId18" w:fontKey="{8EEADF99-BFE4-4E01-BF59-CA2C4A33105B}"/>
  </w:font>
  <w:font w:name="Calibri">
    <w:panose1 w:val="020F0502020204030204"/>
    <w:charset w:val="00"/>
    <w:family w:val="swiss"/>
    <w:pitch w:val="variable"/>
    <w:sig w:usb0="E00002FF" w:usb1="4000ACFF" w:usb2="00000001" w:usb3="00000000" w:csb0="0000019F" w:csb1="00000000"/>
    <w:embedRegular r:id="rId19" w:fontKey="{8C8CDB35-FAF3-4EEB-9009-5DA5EAE778E7}"/>
  </w:font>
  <w:font w:name="cmr17">
    <w:panose1 w:val="020B0500000000000000"/>
    <w:charset w:val="00"/>
    <w:family w:val="swiss"/>
    <w:pitch w:val="variable"/>
    <w:sig w:usb0="00000003" w:usb1="00000000" w:usb2="00000000" w:usb3="00000000" w:csb0="00000001" w:csb1="00000000"/>
    <w:embedRegular r:id="rId20" w:fontKey="{4663F3B6-DD86-4B5C-9FEB-C2081439575F}"/>
    <w:embedBold r:id="rId21" w:fontKey="{1BC9B2B8-E655-4363-A2CD-2A0A6769F297}"/>
  </w:font>
  <w:font w:name="Cambria Math">
    <w:panose1 w:val="02040503050406030204"/>
    <w:charset w:val="00"/>
    <w:family w:val="roman"/>
    <w:pitch w:val="variable"/>
    <w:sig w:usb0="E00002FF" w:usb1="420024FF" w:usb2="00000000" w:usb3="00000000" w:csb0="0000019F" w:csb1="00000000"/>
    <w:embedItalic r:id="rId22" w:fontKey="{C4829961-CBFA-4DDA-A577-31416053DDC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219C">
      <w:rPr>
        <w:rStyle w:val="PageNumber"/>
        <w:noProof/>
      </w:rPr>
      <w:t>8</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550" w:rsidRDefault="00082550">
      <w:pPr>
        <w:spacing w:line="240" w:lineRule="auto"/>
      </w:pPr>
      <w:r>
        <w:separator/>
      </w:r>
    </w:p>
  </w:footnote>
  <w:footnote w:type="continuationSeparator" w:id="0">
    <w:p w:rsidR="00082550" w:rsidRDefault="000825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ttachedTemplate r:id="rId1"/>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DF2"/>
    <w:rsid w:val="000A5003"/>
    <w:rsid w:val="000D0532"/>
    <w:rsid w:val="000D2F57"/>
    <w:rsid w:val="000D3CF8"/>
    <w:rsid w:val="000E18A0"/>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B576C"/>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00"/>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1936"/>
    <w:rsid w:val="00E133E7"/>
    <w:rsid w:val="00E146D3"/>
    <w:rsid w:val="00E251B2"/>
    <w:rsid w:val="00E30ED6"/>
    <w:rsid w:val="00E455D1"/>
    <w:rsid w:val="00E72C13"/>
    <w:rsid w:val="00E91107"/>
    <w:rsid w:val="00E96A4E"/>
    <w:rsid w:val="00EA4ACF"/>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B219C"/>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sChild>
                                                                                                                                                                                                                            <w:div w:id="13462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CC513-E432-401C-9B60-EBE85EDA4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0</TotalTime>
  <Pages>15</Pages>
  <Words>16660</Words>
  <Characters>83300</Characters>
  <Application>Microsoft Office Word</Application>
  <DocSecurity>0</DocSecurity>
  <Lines>694</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2</cp:revision>
  <cp:lastPrinted>2013-04-23T11:40:00Z</cp:lastPrinted>
  <dcterms:created xsi:type="dcterms:W3CDTF">2013-06-12T06:14:00Z</dcterms:created>
  <dcterms:modified xsi:type="dcterms:W3CDTF">2013-06-12T06:14:00Z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